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1F3864" w:val="clear"/>
            <w:tcMar>
              <w:top w:type="dxa" w:w="440"/>
              <w:left w:type="dxa" w:w="440"/>
              <w:bottom w:type="dxa" w:w="380"/>
              <w:right w:type="dxa" w:w="440"/>
            </w:tcMar>
          </w:tcPr>
          <w:p>
            <w:pPr>
              <w:spacing w:before="0"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42"/>
                <w:szCs w:val="42"/>
              </w:rPr>
              <w:t xml:space="preserve">RAPPORT D'ÉVALUATION DE MATURITÉ EO</w:t>
            </w:r>
          </w:p>
          <w:p>
            <w:pPr>
              <w:spacing w:before="0" w:after="60"/>
              <w:jc w:val="center"/>
            </w:pPr>
            <w:r>
              <w:rPr>
                <w:rFonts w:ascii="Arial" w:cs="Arial" w:eastAsia="Arial" w:hAnsi="Arial"/>
                <w:i/>
                <w:iCs/>
                <w:color w:val="BDD7EE"/>
                <w:sz w:val="26"/>
                <w:szCs w:val="26"/>
              </w:rPr>
              <w:t xml:space="preserve">Excellence Opérationnelle</w:t>
            </w:r>
          </w:p>
          <w:p>
            <w:pPr>
              <w:spacing w:before="60" w:after="0"/>
              <w:jc w:val="center"/>
            </w:pPr>
            <w:r>
              <w:rPr>
                <w:rFonts w:ascii="Arial" w:cs="Arial" w:eastAsia="Arial" w:hAnsi="Arial"/>
                <w:color w:val="7EB4D8"/>
                <w:sz w:val="18"/>
                <w:szCs w:val="18"/>
              </w:rPr>
              <w:t xml:space="preserve">Document confidentiel</w:t>
            </w:r>
          </w:p>
        </w:tc>
      </w:tr>
    </w:tbl>
    <w:p>
      <w:pPr>
        <w:spacing w:before="3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CLIENT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[Nom de l'organisation]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DATE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[JJ/MM/AAAA]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ÉVALUATEUR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[Nom du Consultant]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RÉFÉRENCE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[N° de rapport]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140"/>
              <w:left w:type="dxa" w:w="200"/>
              <w:bottom w:type="dxa" w:w="140"/>
              <w:right w:type="dxa" w:w="2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Score global :  [X] / 5</w:t>
            </w:r>
          </w:p>
        </w:tc>
        <w:tc>
          <w:tcPr>
            <w:tcW w:type="dxa" w:w="468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140"/>
              <w:left w:type="dxa" w:w="200"/>
              <w:bottom w:type="dxa" w:w="140"/>
              <w:right w:type="dxa" w:w="2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F3864"/>
                <w:sz w:val="26"/>
                <w:szCs w:val="26"/>
              </w:rPr>
              <w:t xml:space="preserve">Niveau :  [Nom du niveau]</w:t>
            </w:r>
          </w:p>
        </w:tc>
      </w:tr>
    </w:tbl>
    <w:p>
      <w:r>
        <w:br w:type="page"/>
      </w: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1.  SYNTHÈSE EXÉCUTIVE</w:t>
      </w:r>
    </w:p>
    <w:p>
      <w:pPr>
        <w:spacing w:before="60" w:after="60"/>
      </w:pPr>
      <w:r>
        <w:rPr>
          <w:rFonts w:ascii="Arial" w:cs="Arial" w:eastAsia="Arial" w:hAnsi="Arial"/>
          <w:i w:val="false"/>
          <w:iCs w:val="false"/>
          <w:color w:val="333333"/>
          <w:sz w:val="20"/>
          <w:szCs w:val="20"/>
        </w:rPr>
        <w:t xml:space="preserve">Ce rapport présente les résultats de l'évaluation de maturité en Excellence Opérationnelle (EO) réalisée auprès du client. Il synthétise les observations terrain, les scores par dimension et les recommandations prioritaires.</w:t>
      </w:r>
    </w:p>
    <w:p>
      <w:pPr>
        <w:spacing w:before="100" w:after="0"/>
      </w:pP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Points forts identifiés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[Dimension la plus mature — observation clé]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[Deuxième point fort — observation clé]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[Troisième point fort — observation clé]</w:t>
      </w:r>
    </w:p>
    <w:p>
      <w:pPr>
        <w:spacing w:before="60" w:after="0"/>
      </w:pP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Priorités de progression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[Dimension à renforcer en priorité]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[Deuxième axe de progression]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[Troisième axe de progression]</w:t>
      </w:r>
    </w:p>
    <w:p>
      <w:pPr>
        <w:spacing w:before="60" w:after="0"/>
      </w:pP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Recommandation stratégique</w:t>
      </w:r>
    </w:p>
    <w:p>
      <w:pPr>
        <w:spacing w:before="60" w:after="60"/>
      </w:pPr>
      <w:r>
        <w:rPr>
          <w:rFonts w:ascii="Arial" w:cs="Arial" w:eastAsia="Arial" w:hAnsi="Arial"/>
          <w:i/>
          <w:iCs/>
          <w:color w:val="333333"/>
          <w:sz w:val="20"/>
          <w:szCs w:val="20"/>
        </w:rPr>
        <w:t xml:space="preserve">[Phrase d'orientation stratégique décrivant le cap et l'ambition de progression EO pour l'organisation.]</w:t>
      </w:r>
    </w:p>
    <w:p>
      <w:pPr>
        <w:spacing w:before="200" w:after="0"/>
      </w:pP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2.  SCORES PAR DIMENSION</w:t>
      </w:r>
    </w:p>
    <w:p>
      <w:pPr>
        <w:spacing w:before="60" w:after="60"/>
      </w:pPr>
      <w:r>
        <w:rPr>
          <w:rFonts w:ascii="Arial" w:cs="Arial" w:eastAsia="Arial" w:hAnsi="Arial"/>
          <w:i w:val="false"/>
          <w:iCs w:val="false"/>
          <w:color w:val="333333"/>
          <w:sz w:val="20"/>
          <w:szCs w:val="20"/>
        </w:rPr>
        <w:t xml:space="preserve">Chaque dimension est évaluée sur une échelle de 1 à 5. Les scores reflètent les observations terrain, les entretiens menés et les preuves documentaires collectées.</w:t>
      </w:r>
    </w:p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200"/>
        <w:gridCol w:w="4160"/>
      </w:tblGrid>
      <w:tr>
        <w:tc>
          <w:tcPr>
            <w:tcW w:type="dxa" w:w="40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DIMENSION</w:t>
            </w:r>
          </w:p>
        </w:tc>
        <w:tc>
          <w:tcPr>
            <w:tcW w:type="dxa" w:w="1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SCORE</w:t>
            </w:r>
          </w:p>
        </w:tc>
        <w:tc>
          <w:tcPr>
            <w:tcW w:type="dxa" w:w="41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COMMENTAIRE CLÉ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Culture &amp; Leadership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Management Visuel &amp; KPI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Outils &amp; Méthodologies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Compétences &amp; Rôles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Résolution de Problèmes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Résultats &amp; Pérennisation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[X]</w:t>
            </w:r>
          </w:p>
        </w:tc>
        <w:tc>
          <w:tcPr>
            <w:tcW w:type="dxa" w:w="4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[Observation principale]</w:t>
            </w:r>
          </w:p>
        </w:tc>
      </w:tr>
    </w:tbl>
    <w:p>
      <w:pPr>
        <w:spacing w:before="200" w:after="0"/>
      </w:pP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3.  PROFIL RADAR</w:t>
      </w:r>
    </w:p>
    <w:p>
      <w:pPr>
        <w:spacing w:before="60" w:after="60"/>
      </w:pPr>
      <w:r>
        <w:rPr>
          <w:rFonts w:ascii="Arial" w:cs="Arial" w:eastAsia="Arial" w:hAnsi="Arial"/>
          <w:i w:val="false"/>
          <w:iCs w:val="false"/>
          <w:color w:val="333333"/>
          <w:sz w:val="20"/>
          <w:szCs w:val="20"/>
        </w:rPr>
        <w:t xml:space="preserve">Le graphique ci-dessous représente le positionnement de l'organisation sur les 6 dimensions de la maturité EO. Il peut être copié depuis le fichier Excel accompagnant ce rapport.</w:t>
      </w:r>
    </w:p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BF3FB" w:val="clear"/>
            <w:tcMar>
              <w:top w:type="dxa" w:w="700"/>
              <w:left w:type="dxa" w:w="400"/>
              <w:bottom w:type="dxa" w:w="700"/>
              <w:right w:type="dxa" w:w="4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/>
                <w:iCs/>
                <w:color w:val="2E75B6"/>
                <w:sz w:val="22"/>
                <w:szCs w:val="22"/>
              </w:rPr>
              <w:t xml:space="preserve">[ PROFIL RADAR — 6 DIMENSIONS ]</w:t>
            </w:r>
          </w:p>
          <w:p>
            <w:pPr>
              <w:spacing w:before="80" w:after="0"/>
              <w:jc w:val="center"/>
            </w:pPr>
            <w:r>
              <w:rPr>
                <w:rFonts w:ascii="Arial" w:cs="Arial" w:eastAsia="Arial" w:hAnsi="Arial"/>
                <w:i/>
                <w:iCs/>
                <w:color w:val="999999"/>
                <w:sz w:val="18"/>
                <w:szCs w:val="18"/>
              </w:rPr>
              <w:t xml:space="preserve">Remplacer par le graphique radar généré depuis le fichier Excel</w:t>
            </w:r>
          </w:p>
        </w:tc>
      </w:tr>
    </w:tbl>
    <w:p>
      <w:r>
        <w:br w:type="page"/>
      </w: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4.  RECOMMANDATIONS PRIORITAIRES (3–6 MOIS)</w:t>
      </w:r>
    </w:p>
    <w:p>
      <w:pPr>
        <w:spacing w:before="60" w:after="60"/>
      </w:pPr>
      <w:r>
        <w:rPr>
          <w:rFonts w:ascii="Arial" w:cs="Arial" w:eastAsia="Arial" w:hAnsi="Arial"/>
          <w:i w:val="false"/>
          <w:iCs w:val="false"/>
          <w:color w:val="333333"/>
          <w:sz w:val="20"/>
          <w:szCs w:val="20"/>
        </w:rPr>
        <w:t xml:space="preserve">Les actions suivantes sont identifiées comme leviers prioritaires pour progresser vers le niveau de maturité supérieur.</w:t>
      </w:r>
    </w:p>
    <w:p>
      <w:pPr>
        <w:spacing w:before="100" w:after="0"/>
      </w:pPr>
    </w:p>
    <w:p>
      <w:pPr>
        <w:spacing w:before="200" w:after="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4.1  Action 1 : [Description de l'action]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Responsable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[Rôle]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Livrable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[Quoi]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Échéance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[Quand]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Indicateur de succès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[Comment mesurer]</w:t>
      </w:r>
    </w:p>
    <w:p>
      <w:pPr>
        <w:spacing w:before="60" w:after="0"/>
      </w:pPr>
    </w:p>
    <w:p>
      <w:pPr>
        <w:spacing w:before="200" w:after="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4.2  Action 2 : [Description de l'action]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Responsable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[Rôle]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Livrable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[Quoi]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Échéance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[Quand]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Indicateur de succès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[Comment mesurer]</w:t>
      </w:r>
    </w:p>
    <w:p>
      <w:pPr>
        <w:spacing w:before="60" w:after="0"/>
      </w:pPr>
    </w:p>
    <w:p>
      <w:pPr>
        <w:spacing w:before="200" w:after="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4.3  Action 3 : [Description de l'action]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Responsable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[Rôle]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Livrable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[Quoi]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Échéance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[Quand]</w:t>
      </w:r>
    </w:p>
    <w:p>
      <w:pPr>
        <w:spacing w:before="6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• Indicateur de succès 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[Comment mesurer]</w:t>
      </w:r>
    </w:p>
    <w:p>
      <w:pPr>
        <w:spacing w:before="60" w:after="0"/>
      </w:pPr>
    </w:p>
    <w:p>
      <w:pPr>
        <w:spacing w:before="160" w:after="0"/>
      </w:pP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5.  FEUILLE DE ROUTE DE PROGRESSION (12–24 MOIS)</w:t>
      </w: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Objectif de maturité cible :</w:t>
      </w:r>
    </w:p>
    <w:p>
      <w:pPr>
        <w:spacing w:before="60" w:after="60"/>
      </w:pPr>
      <w:r>
        <w:rPr>
          <w:rFonts w:ascii="Arial" w:cs="Arial" w:eastAsia="Arial" w:hAnsi="Arial"/>
          <w:i/>
          <w:iCs/>
          <w:color w:val="333333"/>
          <w:sz w:val="20"/>
          <w:szCs w:val="20"/>
        </w:rPr>
        <w:t xml:space="preserve">Atteindre le niveau [X]/5 d'ici [mois/année]. Cet objectif implique une transformation des dimensions prioritaires identifiées.</w:t>
      </w: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Prérequis critiques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[Ce qui doit être en place avant de démarrer]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[Ressource ou engagement nécessaire]</w:t>
      </w:r>
    </w:p>
    <w:p>
      <w:pPr>
        <w:spacing w:before="120" w:after="6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Risques de blocage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[Facteur susceptible de freiner la progression]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[Risque organisationnel ou culturel à anticiper]</w:t>
      </w:r>
    </w:p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1600"/>
        <w:gridCol w:w="3080"/>
        <w:gridCol w:w="3080"/>
      </w:tblGrid>
      <w:tr>
        <w:tc>
          <w:tcPr>
            <w:tcW w:type="dxa" w:w="16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PHASE</w:t>
            </w:r>
          </w:p>
        </w:tc>
        <w:tc>
          <w:tcPr>
            <w:tcW w:type="dxa" w:w="16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PÉRIODE</w:t>
            </w:r>
          </w:p>
        </w:tc>
        <w:tc>
          <w:tcPr>
            <w:tcW w:type="dxa" w:w="308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OBJECTIF</w:t>
            </w:r>
          </w:p>
        </w:tc>
        <w:tc>
          <w:tcPr>
            <w:tcW w:type="dxa" w:w="308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LIVRABLE CLÉ</w:t>
            </w:r>
          </w:p>
        </w:tc>
      </w:tr>
      <w:tr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Phase 1</w:t>
            </w:r>
          </w:p>
        </w:tc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666666"/>
                <w:sz w:val="19"/>
                <w:szCs w:val="19"/>
              </w:rPr>
              <w:t xml:space="preserve">0–3 mois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[Objectif]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[Livrable]</w:t>
            </w:r>
          </w:p>
        </w:tc>
      </w:tr>
      <w:tr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Phase 2</w:t>
            </w:r>
          </w:p>
        </w:tc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666666"/>
                <w:sz w:val="19"/>
                <w:szCs w:val="19"/>
              </w:rPr>
              <w:t xml:space="preserve">3–6 mois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[Objectif]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[Livrable]</w:t>
            </w:r>
          </w:p>
        </w:tc>
      </w:tr>
      <w:tr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Phase 3</w:t>
            </w:r>
          </w:p>
        </w:tc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666666"/>
                <w:sz w:val="19"/>
                <w:szCs w:val="19"/>
              </w:rPr>
              <w:t xml:space="preserve">6–12 mois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[Objectif]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[Livrable]</w:t>
            </w:r>
          </w:p>
        </w:tc>
      </w:tr>
      <w:tr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Phase 4</w:t>
            </w:r>
          </w:p>
        </w:tc>
        <w:tc>
          <w:tcPr>
            <w:tcW w:type="dxa" w:w="1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666666"/>
                <w:sz w:val="19"/>
                <w:szCs w:val="19"/>
              </w:rPr>
              <w:t xml:space="preserve">12–24 mois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[Objectif]</w:t>
            </w:r>
          </w:p>
        </w:tc>
        <w:tc>
          <w:tcPr>
            <w:tcW w:type="dxa" w:w="30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888888"/>
                <w:sz w:val="19"/>
                <w:szCs w:val="19"/>
              </w:rPr>
              <w:t xml:space="preserve">[Livrable]</w:t>
            </w:r>
          </w:p>
        </w:tc>
      </w:tr>
    </w:tbl>
    <w:p>
      <w:r>
        <w:br w:type="page"/>
      </w: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6.  ANNEXES</w:t>
      </w:r>
    </w:p>
    <w:p>
      <w:pPr>
        <w:spacing w:before="60" w:after="60"/>
      </w:pPr>
      <w:r>
        <w:rPr>
          <w:rFonts w:ascii="Arial" w:cs="Arial" w:eastAsia="Arial" w:hAnsi="Arial"/>
          <w:i w:val="false"/>
          <w:iCs w:val="false"/>
          <w:color w:val="333333"/>
          <w:sz w:val="20"/>
          <w:szCs w:val="20"/>
        </w:rPr>
        <w:t xml:space="preserve">Les annexes suivantes complètent ce rapport et constituent les pièces justificatives de l'évaluation :</w:t>
      </w:r>
    </w:p>
    <w:p>
      <w:pPr>
        <w:spacing w:before="80" w:after="0"/>
      </w:pP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Grille d'entretien complétée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Preuves observées (photos, documents, extraits de tableaux de bord)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Témoignages clés (anonymisés)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Benchmark sectoriel (si disponible)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Définitions des niveaux de maturité (1 à 5)</w:t>
      </w:r>
    </w:p>
    <w:p>
      <w:pPr>
        <w:spacing w:before="280" w:after="0"/>
      </w:pPr>
    </w:p>
    <w:p>
      <w:pPr>
        <w:pBdr>
          <w:bottom w:val="single" w:color="2E75B6" w:sz="10" w:space="4"/>
        </w:pBdr>
        <w:spacing w:before="320" w:after="120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SIGNATURES</w:t>
      </w:r>
    </w:p>
    <w:p>
      <w:pPr>
        <w:spacing w:before="60" w:after="60"/>
      </w:pPr>
      <w:r>
        <w:rPr>
          <w:rFonts w:ascii="Arial" w:cs="Arial" w:eastAsia="Arial" w:hAnsi="Arial"/>
          <w:i/>
          <w:iCs/>
          <w:color w:val="333333"/>
          <w:sz w:val="20"/>
          <w:szCs w:val="20"/>
        </w:rPr>
        <w:t xml:space="preserve">Les soussignés confirment avoir pris connaissance du présent rapport et en valident le contenu.</w:t>
      </w:r>
    </w:p>
    <w:p>
      <w:pPr>
        <w:spacing w:before="16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0"/>
        <w:gridCol w:w="4800"/>
      </w:tblGrid>
      <w:tr>
        <w:tc>
          <w:tcPr>
            <w:tcW w:type="dxa" w:w="4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CLIENT</w:t>
            </w:r>
          </w:p>
          <w:p>
            <w:pPr>
              <w:spacing w:before="8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Nom : ___________________________________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Date : ___________________________________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Signature : ______________________________</w:t>
            </w:r>
          </w:p>
        </w:tc>
        <w:tc>
          <w:tcPr>
            <w:tcW w:type="dxa" w:w="4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CONSULTANT</w:t>
            </w:r>
          </w:p>
          <w:p>
            <w:pPr>
              <w:spacing w:before="8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Nom : ___________________________________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Date : ___________________________________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666666"/>
                <w:sz w:val="18"/>
                <w:szCs w:val="18"/>
              </w:rPr>
              <w:t xml:space="preserve">Signature : ______________________________</w:t>
            </w:r>
          </w:p>
        </w:tc>
      </w:tr>
    </w:tbl>
    <w:p>
      <w:pPr>
        <w:spacing w:before="200" w:after="0"/>
      </w:pPr>
    </w:p>
    <w:p>
      <w:r>
        <w:rPr>
          <w:rFonts w:ascii="Arial" w:cs="Arial" w:eastAsia="Arial" w:hAnsi="Arial"/>
          <w:i/>
          <w:iCs/>
          <w:color w:val="999999"/>
          <w:sz w:val="16"/>
          <w:szCs w:val="16"/>
        </w:rPr>
        <w:t xml:space="preserve">Document confidentiel — Usage exclusif du client et du consultant. Toute reproduction est soumise à autorisation écrite préalable.</w:t>
      </w:r>
    </w:p>
    <w:sectPr>
      <w:headerReference w:type="default" r:id="rId6"/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tabs>
        <w:tab w:val="right" w:pos="9026"/>
      </w:tabs>
      <w:spacing w:before="80" w:after="0"/>
    </w:pPr>
    <w:r>
      <w:rPr>
        <w:rFonts w:ascii="Arial" w:cs="Arial" w:eastAsia="Arial" w:hAnsi="Arial"/>
        <w:color w:val="888888"/>
        <w:sz w:val="16"/>
        <w:szCs w:val="16"/>
      </w:rPr>
      <w:t xml:space="preserve">Confidentiel — [Nom du Consultant]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6"/>
        <w:szCs w:val="16"/>
      </w:rPr>
      <w:t xml:space="preserve"> /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spacing w:before="0" w:after="100"/>
    </w:pPr>
    <w:r>
      <w:rPr>
        <w:rFonts w:ascii="Arial" w:cs="Arial" w:eastAsia="Arial" w:hAnsi="Arial"/>
        <w:b/>
        <w:bCs/>
        <w:color w:val="2E75B6"/>
        <w:sz w:val="16"/>
        <w:szCs w:val="16"/>
      </w:rPr>
      <w:t xml:space="preserve">RAPPORT D'ÉVALUATION DE MATURITÉ EO  —  Excellence Opérationnelle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2026-03-29T11:25:31.583Z</dcterms:created>
  <dcterms:modified xsi:type="dcterms:W3CDTF">2026-03-29T11:25:31.584Z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